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522CA" w14:textId="5AB863AB" w:rsidR="00A42BA6" w:rsidRDefault="00A42BA6" w:rsidP="0022012B">
      <w:pPr>
        <w:rPr>
          <w:sz w:val="22"/>
        </w:rPr>
      </w:pPr>
      <w:r w:rsidRPr="00C61B38">
        <w:rPr>
          <w:sz w:val="22"/>
        </w:rPr>
        <w:t>Załącznik</w:t>
      </w:r>
      <w:r>
        <w:rPr>
          <w:sz w:val="22"/>
        </w:rPr>
        <w:t xml:space="preserve"> C.</w:t>
      </w:r>
      <w:r w:rsidR="007B41CD">
        <w:rPr>
          <w:sz w:val="22"/>
        </w:rPr>
        <w:t>103</w:t>
      </w:r>
      <w:r w:rsidR="009F4939">
        <w:rPr>
          <w:sz w:val="22"/>
        </w:rPr>
        <w:t>.</w:t>
      </w:r>
    </w:p>
    <w:p w14:paraId="65925CD5" w14:textId="77777777" w:rsidR="00772607" w:rsidRDefault="00772607" w:rsidP="0022012B">
      <w:pPr>
        <w:rPr>
          <w:sz w:val="22"/>
        </w:rPr>
      </w:pPr>
    </w:p>
    <w:p w14:paraId="74F482CF" w14:textId="4BC674FF" w:rsidR="00A42BA6" w:rsidRPr="0022012B" w:rsidRDefault="00494668" w:rsidP="0022012B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NILOTINIB</w:t>
      </w:r>
    </w:p>
    <w:tbl>
      <w:tblPr>
        <w:tblW w:w="49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2"/>
        <w:gridCol w:w="3911"/>
        <w:gridCol w:w="1644"/>
        <w:gridCol w:w="8503"/>
      </w:tblGrid>
      <w:tr w:rsidR="00A42BA6" w:rsidRPr="00A65CE0" w14:paraId="442E1F34" w14:textId="77777777" w:rsidTr="00772607">
        <w:trPr>
          <w:cantSplit/>
          <w:trHeight w:val="851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B40D3" w14:textId="77777777" w:rsidR="00A42BA6" w:rsidRPr="0022012B" w:rsidRDefault="00A42BA6" w:rsidP="00DC2A3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2012B"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2C1C8" w14:textId="77777777" w:rsidR="00A42BA6" w:rsidRPr="0022012B" w:rsidRDefault="00A42BA6" w:rsidP="00DC2A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012B">
              <w:rPr>
                <w:b/>
                <w:bCs/>
                <w:color w:val="000000"/>
                <w:sz w:val="20"/>
                <w:szCs w:val="20"/>
              </w:rPr>
              <w:t>NAZWA SUBSTANCJI CZYNNEJ ORAZ, JEŻELI DOTYCZY- DROGA PODANIA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FB68" w14:textId="77777777" w:rsidR="00A42BA6" w:rsidRPr="0022012B" w:rsidRDefault="00A42BA6" w:rsidP="00DC2A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012B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B83F" w14:textId="77777777" w:rsidR="00A42BA6" w:rsidRPr="0022012B" w:rsidRDefault="00A42BA6" w:rsidP="00DC2A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2012B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A42BA6" w:rsidRPr="00C61B38" w14:paraId="3B6A0F06" w14:textId="77777777" w:rsidTr="00772607">
        <w:trPr>
          <w:trHeight w:val="20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F152" w14:textId="20644FDC" w:rsidR="00A42BA6" w:rsidRPr="00A65CE0" w:rsidRDefault="003F40FC" w:rsidP="0022012B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B20D" w14:textId="3259DCF1" w:rsidR="00A42BA6" w:rsidRPr="00A65CE0" w:rsidRDefault="00494668" w:rsidP="0022012B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NILOTINIB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7FB3" w14:textId="22991383" w:rsidR="00A42BA6" w:rsidRPr="00A65CE0" w:rsidRDefault="00A42BA6" w:rsidP="0022012B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76CA7">
              <w:rPr>
                <w:color w:val="000000"/>
                <w:sz w:val="18"/>
                <w:szCs w:val="18"/>
              </w:rPr>
              <w:t>C9</w:t>
            </w:r>
            <w:r w:rsidR="009F4939"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2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7BEF" w14:textId="1AD38AF0" w:rsidR="009F4939" w:rsidRPr="007F7B19" w:rsidRDefault="009F4939" w:rsidP="007F7B19">
            <w:pPr>
              <w:spacing w:before="60" w:after="60"/>
              <w:jc w:val="both"/>
              <w:rPr>
                <w:color w:val="000000"/>
                <w:sz w:val="20"/>
              </w:rPr>
            </w:pPr>
            <w:r w:rsidRPr="007F7B19">
              <w:rPr>
                <w:color w:val="000000"/>
                <w:sz w:val="20"/>
              </w:rPr>
              <w:t>PRZEWLEKŁA BIAŁACZKA SZPIKOWA</w:t>
            </w:r>
            <w:r w:rsidR="00444622">
              <w:rPr>
                <w:color w:val="000000"/>
                <w:sz w:val="20"/>
              </w:rPr>
              <w:t xml:space="preserve"> </w:t>
            </w:r>
            <w:r w:rsidR="00444622" w:rsidRPr="00AF3F22">
              <w:rPr>
                <w:i/>
                <w:iCs/>
                <w:color w:val="000000"/>
                <w:sz w:val="20"/>
                <w:szCs w:val="20"/>
              </w:rPr>
              <w:t xml:space="preserve">z udokumentowaną </w:t>
            </w:r>
            <w:r w:rsidR="00037F66">
              <w:rPr>
                <w:i/>
                <w:iCs/>
                <w:color w:val="000000"/>
                <w:sz w:val="20"/>
                <w:szCs w:val="20"/>
              </w:rPr>
              <w:t xml:space="preserve">przy rozpoznaniu </w:t>
            </w:r>
            <w:r w:rsidR="00444622" w:rsidRPr="00AF3F22">
              <w:rPr>
                <w:i/>
                <w:iCs/>
                <w:color w:val="000000"/>
                <w:sz w:val="20"/>
                <w:szCs w:val="20"/>
              </w:rPr>
              <w:t>obecnością genu BCR-ABL1 lub chromosomu Filadelfia (Ph+)</w:t>
            </w:r>
          </w:p>
          <w:p w14:paraId="77C454FA" w14:textId="77777777" w:rsidR="009F4939" w:rsidRPr="007F7B19" w:rsidRDefault="009F4939" w:rsidP="007F7B19">
            <w:pPr>
              <w:spacing w:before="60" w:after="60"/>
              <w:jc w:val="both"/>
              <w:rPr>
                <w:i/>
                <w:color w:val="000000"/>
                <w:sz w:val="20"/>
              </w:rPr>
            </w:pPr>
            <w:r w:rsidRPr="007F7B19">
              <w:rPr>
                <w:i/>
                <w:color w:val="000000"/>
                <w:sz w:val="20"/>
              </w:rPr>
              <w:t>w przypadku:</w:t>
            </w:r>
          </w:p>
          <w:p w14:paraId="258435CF" w14:textId="43845B3B" w:rsidR="00AF3F22" w:rsidRPr="007F7B19" w:rsidRDefault="00CC66FE" w:rsidP="007F7B19">
            <w:pPr>
              <w:pStyle w:val="Akapitzlist"/>
              <w:numPr>
                <w:ilvl w:val="0"/>
                <w:numId w:val="17"/>
              </w:numPr>
              <w:spacing w:before="60" w:after="60"/>
              <w:jc w:val="both"/>
              <w:rPr>
                <w:i/>
                <w:color w:val="000000"/>
                <w:sz w:val="20"/>
              </w:rPr>
            </w:pPr>
            <w:r w:rsidRPr="00AF3F22">
              <w:rPr>
                <w:i/>
                <w:iCs/>
                <w:color w:val="000000"/>
                <w:sz w:val="20"/>
                <w:szCs w:val="20"/>
              </w:rPr>
              <w:t>leczenia dorosłych chorych z nowo rozpoznaną przewlekłą białaczką szpikową</w:t>
            </w:r>
            <w:r w:rsidR="00AF3F22" w:rsidRPr="00AF3F2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F3F22">
              <w:rPr>
                <w:i/>
                <w:iCs/>
                <w:color w:val="000000"/>
                <w:sz w:val="20"/>
                <w:szCs w:val="20"/>
              </w:rPr>
              <w:t xml:space="preserve"> w fazie przewlekłej z wysokim ryzykiem wg ELTS (EUTOS </w:t>
            </w:r>
            <w:proofErr w:type="spellStart"/>
            <w:r w:rsidRPr="00AF3F22">
              <w:rPr>
                <w:i/>
                <w:iCs/>
                <w:color w:val="000000"/>
                <w:sz w:val="20"/>
                <w:szCs w:val="20"/>
              </w:rPr>
              <w:t>long</w:t>
            </w:r>
            <w:proofErr w:type="spellEnd"/>
            <w:r w:rsidRPr="00AF3F22">
              <w:rPr>
                <w:i/>
                <w:iCs/>
                <w:color w:val="000000"/>
                <w:sz w:val="20"/>
                <w:szCs w:val="20"/>
              </w:rPr>
              <w:t xml:space="preserve">-term </w:t>
            </w:r>
            <w:proofErr w:type="spellStart"/>
            <w:r w:rsidRPr="00AF3F22">
              <w:rPr>
                <w:i/>
                <w:iCs/>
                <w:color w:val="000000"/>
                <w:sz w:val="20"/>
                <w:szCs w:val="20"/>
              </w:rPr>
              <w:t>survival</w:t>
            </w:r>
            <w:proofErr w:type="spellEnd"/>
            <w:r w:rsidRPr="00AF3F2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3F22">
              <w:rPr>
                <w:i/>
                <w:iCs/>
                <w:color w:val="000000"/>
                <w:sz w:val="20"/>
                <w:szCs w:val="20"/>
              </w:rPr>
              <w:t>score</w:t>
            </w:r>
            <w:proofErr w:type="spellEnd"/>
            <w:r w:rsidR="00AF3F22" w:rsidRPr="00AF3F22">
              <w:rPr>
                <w:i/>
                <w:iCs/>
                <w:color w:val="000000"/>
                <w:sz w:val="20"/>
                <w:szCs w:val="20"/>
              </w:rPr>
              <w:t>);</w:t>
            </w:r>
          </w:p>
          <w:p w14:paraId="5BF75AFA" w14:textId="392B041E" w:rsidR="003D623D" w:rsidRPr="00AF3F22" w:rsidRDefault="00BE5B2F" w:rsidP="007F7B19">
            <w:pPr>
              <w:pStyle w:val="Akapitzlist"/>
              <w:numPr>
                <w:ilvl w:val="0"/>
                <w:numId w:val="17"/>
              </w:num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7F7B19">
              <w:rPr>
                <w:i/>
                <w:color w:val="000000"/>
                <w:sz w:val="20"/>
              </w:rPr>
              <w:t>leczenia dorosłych chorych na przewlekłą białaczkę szpikową</w:t>
            </w:r>
            <w:r w:rsidRPr="00AF3F2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F7B19">
              <w:rPr>
                <w:i/>
                <w:color w:val="000000"/>
                <w:sz w:val="20"/>
              </w:rPr>
              <w:t xml:space="preserve">w fazie przewlekłej lub akceleracji, </w:t>
            </w:r>
            <w:r w:rsidR="00CC66FE" w:rsidRPr="007F7B19">
              <w:rPr>
                <w:i/>
                <w:color w:val="000000"/>
                <w:sz w:val="20"/>
              </w:rPr>
              <w:t xml:space="preserve">w przypadku oporności lub nietolerancji na uprzednie leczenie, w tym leczenie </w:t>
            </w:r>
            <w:proofErr w:type="spellStart"/>
            <w:r w:rsidR="00CC66FE" w:rsidRPr="007F7B19">
              <w:rPr>
                <w:i/>
                <w:color w:val="000000"/>
                <w:sz w:val="20"/>
              </w:rPr>
              <w:t>imatynibem</w:t>
            </w:r>
            <w:proofErr w:type="spellEnd"/>
            <w:r w:rsidR="00AF3F22" w:rsidRPr="007F7B19">
              <w:rPr>
                <w:i/>
                <w:color w:val="000000"/>
                <w:sz w:val="20"/>
              </w:rPr>
              <w:t xml:space="preserve"> </w:t>
            </w:r>
            <w:r w:rsidR="00AF3F22">
              <w:rPr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="00810CAF" w:rsidRPr="00AF3F22">
              <w:rPr>
                <w:i/>
                <w:iCs/>
                <w:color w:val="000000"/>
                <w:sz w:val="20"/>
                <w:szCs w:val="20"/>
              </w:rPr>
              <w:t xml:space="preserve">postępowanie </w:t>
            </w:r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 xml:space="preserve">zgodnie z aktualnymi rekomendacjami </w:t>
            </w:r>
            <w:proofErr w:type="spellStart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>European</w:t>
            </w:r>
            <w:proofErr w:type="spellEnd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>LeukemiaNet</w:t>
            </w:r>
            <w:proofErr w:type="spellEnd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 xml:space="preserve"> lub PALG (</w:t>
            </w:r>
            <w:proofErr w:type="spellStart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>Polish</w:t>
            </w:r>
            <w:proofErr w:type="spellEnd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>Adult</w:t>
            </w:r>
            <w:proofErr w:type="spellEnd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 xml:space="preserve"> Leukemia </w:t>
            </w:r>
            <w:proofErr w:type="spellStart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>Group</w:t>
            </w:r>
            <w:proofErr w:type="spellEnd"/>
            <w:r w:rsidR="00CC66FE" w:rsidRPr="00AF3F22">
              <w:rPr>
                <w:i/>
                <w:iCs/>
                <w:color w:val="000000"/>
                <w:sz w:val="20"/>
                <w:szCs w:val="20"/>
              </w:rPr>
              <w:t>).</w:t>
            </w:r>
          </w:p>
        </w:tc>
      </w:tr>
    </w:tbl>
    <w:p w14:paraId="4ADEA4CD" w14:textId="77777777" w:rsidR="00A42BA6" w:rsidRDefault="00A42BA6" w:rsidP="00632DA2">
      <w:pPr>
        <w:rPr>
          <w:sz w:val="22"/>
        </w:rPr>
      </w:pPr>
    </w:p>
    <w:sectPr w:rsidR="00A42BA6" w:rsidSect="0022012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1A44E2"/>
    <w:multiLevelType w:val="multilevel"/>
    <w:tmpl w:val="BF8017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1B10973"/>
    <w:multiLevelType w:val="hybridMultilevel"/>
    <w:tmpl w:val="D63424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5523E0"/>
    <w:multiLevelType w:val="hybridMultilevel"/>
    <w:tmpl w:val="1A7A434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F43AD2"/>
    <w:multiLevelType w:val="multilevel"/>
    <w:tmpl w:val="5BAEBC2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EBD4A6F"/>
    <w:multiLevelType w:val="hybridMultilevel"/>
    <w:tmpl w:val="B67E7ED0"/>
    <w:lvl w:ilvl="0" w:tplc="0CEC03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6"/>
  </w:num>
  <w:num w:numId="2" w16cid:durableId="752167679">
    <w:abstractNumId w:val="11"/>
  </w:num>
  <w:num w:numId="3" w16cid:durableId="442767989">
    <w:abstractNumId w:val="10"/>
  </w:num>
  <w:num w:numId="4" w16cid:durableId="1051153734">
    <w:abstractNumId w:val="3"/>
  </w:num>
  <w:num w:numId="5" w16cid:durableId="179585986">
    <w:abstractNumId w:val="1"/>
  </w:num>
  <w:num w:numId="6" w16cid:durableId="1892418848">
    <w:abstractNumId w:val="2"/>
  </w:num>
  <w:num w:numId="7" w16cid:durableId="1129058059">
    <w:abstractNumId w:val="12"/>
  </w:num>
  <w:num w:numId="8" w16cid:durableId="1921062835">
    <w:abstractNumId w:val="8"/>
  </w:num>
  <w:num w:numId="9" w16cid:durableId="833303556">
    <w:abstractNumId w:val="16"/>
  </w:num>
  <w:num w:numId="10" w16cid:durableId="1777672729">
    <w:abstractNumId w:val="15"/>
  </w:num>
  <w:num w:numId="11" w16cid:durableId="1616980129">
    <w:abstractNumId w:val="0"/>
  </w:num>
  <w:num w:numId="12" w16cid:durableId="1803227160">
    <w:abstractNumId w:val="5"/>
  </w:num>
  <w:num w:numId="13" w16cid:durableId="899630385">
    <w:abstractNumId w:val="4"/>
  </w:num>
  <w:num w:numId="14" w16cid:durableId="1638335462">
    <w:abstractNumId w:val="13"/>
  </w:num>
  <w:num w:numId="15" w16cid:durableId="1573195979">
    <w:abstractNumId w:val="7"/>
  </w:num>
  <w:num w:numId="16" w16cid:durableId="1126385608">
    <w:abstractNumId w:val="9"/>
  </w:num>
  <w:num w:numId="17" w16cid:durableId="8523757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037F66"/>
    <w:rsid w:val="00041567"/>
    <w:rsid w:val="001166CA"/>
    <w:rsid w:val="0012430E"/>
    <w:rsid w:val="00140204"/>
    <w:rsid w:val="00140363"/>
    <w:rsid w:val="001C24A8"/>
    <w:rsid w:val="001C4F20"/>
    <w:rsid w:val="001E0E16"/>
    <w:rsid w:val="001E1301"/>
    <w:rsid w:val="001E45C1"/>
    <w:rsid w:val="0022012B"/>
    <w:rsid w:val="002349F1"/>
    <w:rsid w:val="0029666A"/>
    <w:rsid w:val="002A1B69"/>
    <w:rsid w:val="002A3065"/>
    <w:rsid w:val="002C7B75"/>
    <w:rsid w:val="00341E9C"/>
    <w:rsid w:val="003545DF"/>
    <w:rsid w:val="00376B9B"/>
    <w:rsid w:val="003974AA"/>
    <w:rsid w:val="003B290D"/>
    <w:rsid w:val="003D623D"/>
    <w:rsid w:val="003F40FC"/>
    <w:rsid w:val="00444622"/>
    <w:rsid w:val="004831F9"/>
    <w:rsid w:val="00484F51"/>
    <w:rsid w:val="00494668"/>
    <w:rsid w:val="004E45C9"/>
    <w:rsid w:val="005204B7"/>
    <w:rsid w:val="00566DE6"/>
    <w:rsid w:val="005C7A5E"/>
    <w:rsid w:val="006036FE"/>
    <w:rsid w:val="006074B3"/>
    <w:rsid w:val="00612300"/>
    <w:rsid w:val="00632DA2"/>
    <w:rsid w:val="00646691"/>
    <w:rsid w:val="00654B89"/>
    <w:rsid w:val="006C7B1F"/>
    <w:rsid w:val="006F074F"/>
    <w:rsid w:val="006F634F"/>
    <w:rsid w:val="00713BC0"/>
    <w:rsid w:val="00726315"/>
    <w:rsid w:val="007269A7"/>
    <w:rsid w:val="00760869"/>
    <w:rsid w:val="00772607"/>
    <w:rsid w:val="00794590"/>
    <w:rsid w:val="007B41CD"/>
    <w:rsid w:val="007B5422"/>
    <w:rsid w:val="007C3583"/>
    <w:rsid w:val="007F7B19"/>
    <w:rsid w:val="00803F5E"/>
    <w:rsid w:val="00810CAF"/>
    <w:rsid w:val="008218A5"/>
    <w:rsid w:val="00847C77"/>
    <w:rsid w:val="00875DDE"/>
    <w:rsid w:val="008C3C1E"/>
    <w:rsid w:val="008D05CA"/>
    <w:rsid w:val="00940E35"/>
    <w:rsid w:val="009F4939"/>
    <w:rsid w:val="00A14A0F"/>
    <w:rsid w:val="00A20A48"/>
    <w:rsid w:val="00A2725B"/>
    <w:rsid w:val="00A42BA6"/>
    <w:rsid w:val="00A57E87"/>
    <w:rsid w:val="00A65CE0"/>
    <w:rsid w:val="00A673E4"/>
    <w:rsid w:val="00A83BF3"/>
    <w:rsid w:val="00AA26E4"/>
    <w:rsid w:val="00AD74FA"/>
    <w:rsid w:val="00AE484B"/>
    <w:rsid w:val="00AF3F22"/>
    <w:rsid w:val="00B24283"/>
    <w:rsid w:val="00B573DE"/>
    <w:rsid w:val="00B665F8"/>
    <w:rsid w:val="00B9144B"/>
    <w:rsid w:val="00B9157D"/>
    <w:rsid w:val="00BC3066"/>
    <w:rsid w:val="00BC4659"/>
    <w:rsid w:val="00BD74A6"/>
    <w:rsid w:val="00BE0715"/>
    <w:rsid w:val="00BE5B2F"/>
    <w:rsid w:val="00C416FB"/>
    <w:rsid w:val="00C61B38"/>
    <w:rsid w:val="00CA28AA"/>
    <w:rsid w:val="00CC633E"/>
    <w:rsid w:val="00CC66FE"/>
    <w:rsid w:val="00D018FC"/>
    <w:rsid w:val="00D134FC"/>
    <w:rsid w:val="00D3319F"/>
    <w:rsid w:val="00D53114"/>
    <w:rsid w:val="00D633D7"/>
    <w:rsid w:val="00D71EDD"/>
    <w:rsid w:val="00E3050C"/>
    <w:rsid w:val="00E33A39"/>
    <w:rsid w:val="00E33F36"/>
    <w:rsid w:val="00E76CA7"/>
    <w:rsid w:val="00E83868"/>
    <w:rsid w:val="00EF64DD"/>
    <w:rsid w:val="00F13A87"/>
    <w:rsid w:val="00F26DCE"/>
    <w:rsid w:val="00F55BE4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rsid w:val="003D623D"/>
    <w:pPr>
      <w:ind w:left="720"/>
      <w:contextualSpacing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34"/>
    <w:qFormat/>
    <w:rsid w:val="003D62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4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2</cp:revision>
  <dcterms:created xsi:type="dcterms:W3CDTF">2025-05-27T05:56:00Z</dcterms:created>
  <dcterms:modified xsi:type="dcterms:W3CDTF">2025-05-27T05:56:00Z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